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Załącznik nr 1 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OPIS PRZEDMIOTU ZAMÓWIENIA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Informacje ogólne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zamówienia jest wykonanie usługi obejmującej druk oraz dostawę do Fundacji Ukraina (w tym transport, rozładunek i wniesienie do pomieszczeń wskazanych przez Zamawiającego) materiałów informacyjno-promocyjnych.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Druki będące przedmiotem zamówienia muszą być zapakowane w papier. Na każdej paczce winna się znaleźć etykieta wskazująca rodzaj zawartości.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Zamówienie będzie realizowane sukcesywnie zgodnie z potrzebami Zamawiającego w ciągu 12 miesięcy od dnia podpisania umowy ramowej lub do wcześniejszego wykorzystania kwoty umownej.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Szacunkowa liczba druków określona została w poniższej tabeli. Zamawiający w trakcie realizacji zamówienia dopuszcza rezygnację z zamówienia określonego typu druku lub możliwość zamiany liczby zamawianych produktów a także zmiany na inny produkt wymieniony poniżej.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Zamawiający zastrzega możliwość zamówienia również usług druku innych, niewymienionych przedmiocie zapytania ofertowego, w przypadku zaistnienia potrzeby ich zakupu podczas realizacji zamówienia po cenach katalogowych Wykonawcy z uwzględnieniem cen promocyjnych i wynegocjowanych upustów po uzgodnieniu warunków cenowych.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Poszczególne druki będą realizowane w ramach konkretnych częściowych zleceń Zamawiającego przekazywanych Wykonawcy za pośrednictwem poczty elektronicznej przez osobę/osoby wyznaczoną ze strony Zamawiającego.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Pliki do druku będą przekazywane Wykonawcy w całości lub etapami w postaci PDF (do edycji) za pośrednictwem poczty elektronicznej.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Zasady kryteriów oceny ofert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 wyborze oferty Zamawiający będzie się kierował następującymi kryteriami: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Cena brutto zestawienia (CZ): 70 % (70 pkt.)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Czas realizacji zamówienia (dni) (CRZ): 15 % (15 pkt.)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Czas realizacji dostawy (godziny) (CRD): 10 % (10 pkt.)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Doświadczenie w realizacji zadania (lata) (D): 5% (5 pkt.)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Ocena oferty będzie dokonywana wg poniższego wzoru: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Suma punktów badanej oferty = CZ + CRZ + CRD + D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CZ = najniższa cena / cena oferty badanej x 70 (waga kryterium)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Punkty za kryterium „Czas realizacji zamówienia” (CRZ) zostaną obliczone według gwarantowanego termin wykonania usługi (liczony od dnia złożenia zamówienia):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2 dni roboczych włącznie = 15 pkt,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3 do 4 dni roboczych włącznie = 10 pkt,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powyżej 5 dni roboczych =  5 pkt,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powyżej 7 dni roboczych = 1 pkt. 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Punkty za kryterium „Czas realizacji dostawy ” (CRD) zostaną obliczone według gwarantowanego terminu dostarczenia zamówienia na wskazany adres (liczony od czasu zakończenia realizacji zamówienia):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12 godzin włącznie = 10 pkt,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12 do 24 godzin włącznie = 8 pkt,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 24 do 48 godzin  =  5 pkt,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powyżej 48 godzin = 1 pkt. 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Za termin dostarczenia usługi uznaje się termin dostarczenia przedmiotu zamówienia do Zamawiającego, na adres wskazany przez Zamawiającego w zamówieniu.</w:t>
      </w:r>
    </w:p>
    <w:p w:rsidR="00000000" w:rsidDel="00000000" w:rsidP="00000000" w:rsidRDefault="00000000" w:rsidRPr="00000000" w14:paraId="0000002A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Punkty za kryterium “Doświadczenie w realizacji zadania” (D) zostaną obliczone na podstawie lat dotychczasowej współpracy z Fundacją Ukraina przy realizacji Umów Ramowych lub innych form zamówienia na faktury:</w:t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76" w:lineRule="auto"/>
        <w:ind w:left="709" w:hanging="34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powyżej 2 lat wspólpracy = 5 pkt,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="276" w:lineRule="auto"/>
        <w:ind w:left="709" w:hanging="349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 1 do 2 lat wspólpracy = 2 pkt,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="276" w:lineRule="auto"/>
        <w:ind w:left="709" w:hanging="349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mniej niż rok współpracy lub jej brak = 0 pkt. </w:t>
      </w:r>
    </w:p>
    <w:p w:rsidR="00000000" w:rsidDel="00000000" w:rsidP="00000000" w:rsidRDefault="00000000" w:rsidRPr="00000000" w14:paraId="0000003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Przyjmuje się, że 1 % = 1 pkt. – tak zostanie przeliczona liczba punktów w/w kryteriach.</w:t>
      </w:r>
    </w:p>
    <w:p w:rsidR="00000000" w:rsidDel="00000000" w:rsidP="00000000" w:rsidRDefault="00000000" w:rsidRPr="00000000" w14:paraId="00000032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punktów zostanie wyliczona po zsumowaniu wszystkich punktów z w/w kryteriów.</w:t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sz w:val="24"/>
          <w:szCs w:val="24"/>
        </w:rPr>
      </w:pPr>
      <w:bookmarkStart w:colFirst="0" w:colLast="0" w:name="_heading=h.sq7ie7r0ymfg" w:id="0"/>
      <w:bookmarkEnd w:id="0"/>
      <w:r w:rsidDel="00000000" w:rsidR="00000000" w:rsidRPr="00000000">
        <w:rPr>
          <w:sz w:val="24"/>
          <w:szCs w:val="24"/>
          <w:rtl w:val="0"/>
        </w:rPr>
        <w:t xml:space="preserve">Zamawiający podpisze umowę ramową z Wykonawcą, który otrzyma najwyższą liczbę otrzymanych punktów.</w:t>
      </w:r>
    </w:p>
    <w:p w:rsidR="00000000" w:rsidDel="00000000" w:rsidP="00000000" w:rsidRDefault="00000000" w:rsidRPr="00000000" w14:paraId="0000003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Rodzaj i szacunkowa liczba druków:</w:t>
      </w:r>
    </w:p>
    <w:p w:rsidR="00000000" w:rsidDel="00000000" w:rsidP="00000000" w:rsidRDefault="00000000" w:rsidRPr="00000000" w14:paraId="0000003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6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980"/>
        <w:gridCol w:w="3675"/>
        <w:gridCol w:w="2265"/>
        <w:gridCol w:w="1740"/>
        <w:tblGridChange w:id="0">
          <w:tblGrid>
            <w:gridCol w:w="555"/>
            <w:gridCol w:w="1980"/>
            <w:gridCol w:w="3675"/>
            <w:gridCol w:w="2265"/>
            <w:gridCol w:w="174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Typ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Parametry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Minimalny nakład jednorazowy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Szacowana liczba zamówień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ZESTAWIENIE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Ulotka A5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A5, gramatura 180g, kolor, papier kredowy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Ulotka DL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297x210mm, gramatura 180g, kolor, papier matowy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Plakat A4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A4, gramatura 250g, kolor, papier kredowy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Plakat A3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A3, gramatura 250g, kolor, papier z polyskiem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Plakat A2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A2, gramatura 250g, kolor, papier z połyskiem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Plakat A1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A1, gramatura 250g, kolor, papier z połyskiem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Wizytówka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55x85mm, gramatura 250g, kolor, papier satyna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Broszura A5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A5, gramatura 180g, kolor, papier kredowy, 40 stron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Broszura A4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A4, gramatura 180g, kolor, papier kredowy, 40 stron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Naklejki na papierze samoprzylepnym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50x50mm, kolorowy papier samoklejący, z cięciem, na arkuszy po 6 sztuk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Plansza PCV A4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A4, gramatura 300g, kolor, materiał PVC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Plansza PCV A3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A3, gramatura 300g, kolor, materiał PVC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Plansza PCV A2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A2, gramatura 300g, kolor, materiał PVC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Plansza PCV A1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A1, gramatura 300g, kolor, materiał PVC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Roll-up standardowy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85x200cm, typ X-banner, druk kolorowy, folia błyszcząca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Roll-up duży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Format 100x200cm, typ X-banner, druk kolorowy, folia błyszcząca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276" w:top="2278" w:left="1418" w:right="1134" w:header="426" w:footer="19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Fundacja Ukraina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4410075</wp:posOffset>
          </wp:positionH>
          <wp:positionV relativeFrom="paragraph">
            <wp:posOffset>-95247</wp:posOffset>
          </wp:positionV>
          <wp:extent cx="1819275" cy="763587"/>
          <wp:effectExtent b="0" l="0" r="0" t="0"/>
          <wp:wrapNone/>
          <wp:docPr descr="https://lh5.googleusercontent.com/OqIQHspMvFcWdx3nbnnJyvF-U-5ncQHCzuoFKm77ODbSsuSxQ_u58o0p625gpZw-EI6yL29vjJkZcrSo1Dswtyz3PtWhZzapMzi26fhZ-fnb8cvexv4vxF68MDJItx93g58HSnA" id="2" name="image1.png"/>
          <a:graphic>
            <a:graphicData uri="http://schemas.openxmlformats.org/drawingml/2006/picture">
              <pic:pic>
                <pic:nvPicPr>
                  <pic:cNvPr descr="https://lh5.googleusercontent.com/OqIQHspMvFcWdx3nbnnJyvF-U-5ncQHCzuoFKm77ODbSsuSxQ_u58o0p625gpZw-EI6yL29vjJkZcrSo1Dswtyz3PtWhZzapMzi26fhZ-fnb8cvexv4vxF68MDJItx93g58HS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275" cy="7635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ul. Ruska 46a/201, </w:t>
      <w:br w:type="textWrapping"/>
      <w:t xml:space="preserve">50-079 Wrocław</w:t>
    </w:r>
  </w:p>
  <w:p w:rsidR="00000000" w:rsidDel="00000000" w:rsidP="00000000" w:rsidRDefault="00000000" w:rsidRPr="00000000" w14:paraId="00000094">
    <w:pP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sz w:val="26"/>
        <w:szCs w:val="26"/>
      </w:rPr>
    </w:pPr>
    <w:hyperlink r:id="rId2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fundacjaukraina.eu</w:t>
      </w:r>
    </w:hyperlink>
    <w:r w:rsidDel="00000000" w:rsidR="00000000" w:rsidRPr="00000000">
      <w:rPr>
        <w:rFonts w:ascii="Arial" w:cs="Arial" w:eastAsia="Arial" w:hAnsi="Arial"/>
        <w:sz w:val="20"/>
        <w:szCs w:val="20"/>
        <w:rtl w:val="0"/>
      </w:rPr>
      <w:br w:type="textWrapping"/>
      <w:t xml:space="preserve">e-mail: </w:t>
    </w:r>
    <w:hyperlink r:id="rId3"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biuro@fundacjaukraina.eu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tabs>
        <w:tab w:val="center" w:leader="none" w:pos="4536"/>
        <w:tab w:val="right" w:leader="none" w:pos="9072"/>
      </w:tabs>
      <w:spacing w:after="0" w:line="240" w:lineRule="auto"/>
      <w:ind w:firstLine="720"/>
      <w:rPr>
        <w:rFonts w:ascii="Arial" w:cs="Arial" w:eastAsia="Arial" w:hAnsi="Arial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58738</wp:posOffset>
              </wp:positionV>
              <wp:extent cx="7582218" cy="6566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2263012" y="3771539"/>
                        <a:ext cx="6165977" cy="16923"/>
                      </a:xfrm>
                      <a:custGeom>
                        <a:rect b="b" l="l" r="r" t="t"/>
                        <a:pathLst>
                          <a:path extrusionOk="0" h="12700" w="6559550">
                            <a:moveTo>
                              <a:pt x="0" y="0"/>
                            </a:moveTo>
                            <a:lnTo>
                              <a:pt x="6559550" y="127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-906460</wp:posOffset>
              </wp:positionH>
              <wp:positionV relativeFrom="paragraph">
                <wp:posOffset>58738</wp:posOffset>
              </wp:positionV>
              <wp:extent cx="7582218" cy="65664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2218" cy="6566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spacing w:after="0"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fundacjaukraina.eu/" TargetMode="External"/><Relationship Id="rId3" Type="http://schemas.openxmlformats.org/officeDocument/2006/relationships/hyperlink" Target="mailto:biuro@fundacjaukraina.eu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q13O/zgZWNaibpKqIgI1kyZ8g==">CgMxLjAyDmguc3E3aWU3cjB5bWZnOAByITFMSC1uWkx3WUFvb0ZfbkZ1WGptUEdoYjdRdUtDVGpmWQ==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